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星河稳健增益服务竞价报告</w:t>
      </w:r>
    </w:p>
    <w:p>
      <w:pPr>
        <w:spacing w:after="100"/>
      </w:pPr>
      <w:r>
        <w:t xml:space="preserve">上传文件 7 份，成功解析 7 份，抽取报告组件 25 条，待补充章节 1 个。</w:t>
      </w:r>
    </w:p>
    <w:p>
      <w:pPr>
        <w:pStyle w:val="Heading2"/>
        <w:spacing w:after="200"/>
      </w:pPr>
      <w:r>
        <w:t xml:space="preserve">执行摘要</w:t>
      </w:r>
    </w:p>
    <w:p>
      <w:pPr>
        <w:spacing w:after="100"/>
      </w:pPr>
      <w:r>
        <w:t xml:space="preserve">建议采用“中位报价、服务完整、响应更快、合规可追溯”的策略。相较于低价标准化方案，我方优势在于报告、重大事件解读、客户问答、风险揭示和内部培训材料同步交付；相较于高价专家路演方案，我方优势在于报价更具竞争力、交付周期更短、服务内容更贴近客户经理日常使用场景。基础服务费为42万元，处于市场中位偏下水平。</w:t>
      </w:r>
    </w:p>
    <w:p>
      <w:pPr>
        <w:pStyle w:val="Heading2"/>
        <w:spacing w:after="200"/>
      </w:pPr>
      <w:r>
        <w:t xml:space="preserve">章节覆盖度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r>
              <w:t xml:space="preserve">章节</w:t>
            </w:r>
          </w:p>
        </w:tc>
        <w:tc>
          <w:p>
            <w:r>
              <w:t xml:space="preserve">状态</w:t>
            </w:r>
          </w:p>
        </w:tc>
        <w:tc>
          <w:p>
            <w:r>
              <w:t xml:space="preserve">组件数</w:t>
            </w:r>
          </w:p>
        </w:tc>
      </w:tr>
      <w:tr>
        <w:tc>
          <w:p>
            <w:r>
              <w:t xml:space="preserve">执行摘要</w:t>
            </w:r>
          </w:p>
        </w:tc>
        <w:tc>
          <w:p>
            <w:r>
              <w:t xml:space="preserve">已覆盖</w:t>
            </w:r>
          </w:p>
        </w:tc>
        <w:tc>
          <w:p>
            <w:r>
              <w:t xml:space="preserve">1</w:t>
            </w:r>
          </w:p>
        </w:tc>
      </w:tr>
      <w:tr>
        <w:tc>
          <w:p>
            <w:r>
              <w:t xml:space="preserve">项目背景与客户需求</w:t>
            </w:r>
          </w:p>
        </w:tc>
        <w:tc>
          <w:p>
            <w:r>
              <w:t xml:space="preserve">已覆盖</w:t>
            </w:r>
          </w:p>
        </w:tc>
        <w:tc>
          <w:p>
            <w:r>
              <w:t xml:space="preserve">4</w:t>
            </w:r>
          </w:p>
        </w:tc>
      </w:tr>
      <w:tr>
        <w:tc>
          <w:p>
            <w:r>
              <w:t xml:space="preserve">市场环境与趋势判断</w:t>
            </w:r>
          </w:p>
        </w:tc>
        <w:tc>
          <w:p>
            <w:r>
              <w:t xml:space="preserve">缺失</w:t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t xml:space="preserve">竞品/竞争对手对比</w:t>
            </w:r>
          </w:p>
        </w:tc>
        <w:tc>
          <w:p>
            <w:r>
              <w:t xml:space="preserve">已覆盖</w:t>
            </w:r>
          </w:p>
        </w:tc>
        <w:tc>
          <w:p>
            <w:r>
              <w:t xml:space="preserve">2</w:t>
            </w:r>
          </w:p>
        </w:tc>
      </w:tr>
      <w:tr>
        <w:tc>
          <w:p>
            <w:r>
              <w:t xml:space="preserve">我方方案与差异化优势</w:t>
            </w:r>
          </w:p>
        </w:tc>
        <w:tc>
          <w:p>
            <w:r>
              <w:t xml:space="preserve">已覆盖</w:t>
            </w:r>
          </w:p>
        </w:tc>
        <w:tc>
          <w:p>
            <w:r>
              <w:t xml:space="preserve">4</w:t>
            </w:r>
          </w:p>
        </w:tc>
      </w:tr>
      <w:tr>
        <w:tc>
          <w:p>
            <w:r>
              <w:t xml:space="preserve">报价策略与商务条款</w:t>
            </w:r>
          </w:p>
        </w:tc>
        <w:tc>
          <w:p>
            <w:r>
              <w:t xml:space="preserve">已覆盖</w:t>
            </w:r>
          </w:p>
        </w:tc>
        <w:tc>
          <w:p>
            <w:r>
              <w:t xml:space="preserve">3</w:t>
            </w:r>
          </w:p>
        </w:tc>
      </w:tr>
      <w:tr>
        <w:tc>
          <w:p>
            <w:r>
              <w:t xml:space="preserve">收益测算与关键指标</w:t>
            </w:r>
          </w:p>
        </w:tc>
        <w:tc>
          <w:p>
            <w:r>
              <w:t xml:space="preserve">已覆盖</w:t>
            </w:r>
          </w:p>
        </w:tc>
        <w:tc>
          <w:p>
            <w:r>
              <w:t xml:space="preserve">5</w:t>
            </w:r>
          </w:p>
        </w:tc>
      </w:tr>
      <w:tr>
        <w:tc>
          <w:p>
            <w:r>
              <w:t xml:space="preserve">实施计划与交付保障</w:t>
            </w:r>
          </w:p>
        </w:tc>
        <w:tc>
          <w:p>
            <w:r>
              <w:t xml:space="preserve">已覆盖</w:t>
            </w:r>
          </w:p>
        </w:tc>
        <w:tc>
          <w:p>
            <w:r>
              <w:t xml:space="preserve">1</w:t>
            </w:r>
          </w:p>
        </w:tc>
      </w:tr>
      <w:tr>
        <w:tc>
          <w:p>
            <w:r>
              <w:t xml:space="preserve">风险合规与免责声明</w:t>
            </w:r>
          </w:p>
        </w:tc>
        <w:tc>
          <w:p>
            <w:r>
              <w:t xml:space="preserve">已覆盖</w:t>
            </w:r>
          </w:p>
        </w:tc>
        <w:tc>
          <w:p>
            <w:r>
              <w:t xml:space="preserve">4</w:t>
            </w:r>
          </w:p>
        </w:tc>
      </w:tr>
      <w:tr>
        <w:tc>
          <w:p>
            <w:r>
              <w:t xml:space="preserve">结论与推荐方案</w:t>
            </w:r>
          </w:p>
        </w:tc>
        <w:tc>
          <w:p>
            <w:r>
              <w:t xml:space="preserve">已覆盖</w:t>
            </w:r>
          </w:p>
        </w:tc>
        <w:tc>
          <w:p>
            <w:r>
              <w:t xml:space="preserve">1</w:t>
            </w:r>
          </w:p>
        </w:tc>
      </w:tr>
    </w:tbl>
    <w:p>
      <w:pPr>
        <w:pStyle w:val="Heading2"/>
        <w:spacing w:after="200"/>
      </w:pPr>
      <w:r>
        <w:t xml:space="preserve">正式竞价报告</w:t>
      </w:r>
    </w:p>
    <w:p>
      <w:pPr>
        <w:pStyle w:val="Heading2"/>
        <w:spacing w:after="200"/>
      </w:pPr>
      <w:r>
        <w:t xml:space="preserve">执行摘要</w:t>
      </w:r>
    </w:p>
    <w:p>
      <w:pPr>
        <w:spacing w:after="100"/>
      </w:pPr>
      <w:r>
        <w:t xml:space="preserve">建议采用“中位报价、服务完整、响应更快、合规可追溯”的策略。相较于低价标准化方案，我方优势在于报告、重大事件解读、客户问答、风险揭示和内部培训材料同步交付；相较于高价专家路演方案，我方优势在于报价更具竞争力、交付周期更短、服务内容更贴近客户经理日常使用场景。</w:t>
      </w:r>
    </w:p>
    <w:p>
      <w:pPr>
        <w:pStyle w:val="Heading2"/>
        <w:spacing w:after="200"/>
      </w:pPr>
      <w:r>
        <w:t xml:space="preserve">项目背景与客户需求</w:t>
      </w:r>
    </w:p>
    <w:p>
      <w:pPr>
        <w:pStyle w:val="Heading3"/>
        <w:spacing w:after="200"/>
      </w:pPr>
      <w:r>
        <w:t xml:space="preserve">项目概况</w:t>
      </w:r>
    </w:p>
    <w:p>
      <w:pPr>
        <w:spacing w:after="100"/>
      </w:pPr>
      <w:r>
        <w:t xml:space="preserve">客户为区域性商业银行私人银行中心，计划采购一套面向高净值客户的资产配置陪伴服务。项目目标是提升客户经理在复杂市场环境下的配置说明能力、客户沟通效率和服务标准化水平。</w:t>
      </w:r>
    </w:p>
    <w:p>
      <w:pPr>
        <w:pStyle w:val="Heading3"/>
        <w:spacing w:after="200"/>
      </w:pPr>
      <w:r>
        <w:t xml:space="preserve">竞价目标</w:t>
      </w:r>
    </w:p>
    <w:p>
      <w:pPr>
        <w:spacing w:after="100"/>
      </w:pPr>
      <w:r>
        <w:t xml:space="preserve">本次竞价重点不是单一产品收益，而是综合评估服务机构的投研能力、报告交付能力、定制化程度、合规控制和商务报价。客户要求服务机构能够提供季度配置报告、重大市场事件解读、客户沟通材料和风险揭示模板。</w:t>
      </w:r>
    </w:p>
    <w:p>
      <w:pPr>
        <w:pStyle w:val="Heading3"/>
        <w:spacing w:after="200"/>
      </w:pPr>
      <w:r>
        <w:t xml:space="preserve">客户核心需求</w:t>
      </w:r>
    </w:p>
    <w:p>
      <w:pPr>
        <w:spacing w:after="100"/>
        <w:ind w:left="720" w:hanging="360"/>
      </w:pPr>
      <w:r>
        <w:t xml:space="preserve">• </w:t>
      </w:r>
      <w:r>
        <w:t xml:space="preserve">需要稳定、可解释的资产配置框架。</w:t>
      </w:r>
    </w:p>
    <w:p>
      <w:pPr>
        <w:spacing w:after="100"/>
        <w:ind w:left="720" w:hanging="360"/>
      </w:pPr>
      <w:r>
        <w:t xml:space="preserve">• </w:t>
      </w:r>
      <w:r>
        <w:t xml:space="preserve">需要降低客户经理解释市场波动的沟通成本。</w:t>
      </w:r>
    </w:p>
    <w:p>
      <w:pPr>
        <w:spacing w:after="100"/>
        <w:ind w:left="720" w:hanging="360"/>
      </w:pPr>
      <w:r>
        <w:t xml:space="preserve">• </w:t>
      </w:r>
      <w:r>
        <w:t xml:space="preserve">需要材料能够支持内部审批、客户沟通和服务留痕。</w:t>
      </w:r>
    </w:p>
    <w:p>
      <w:pPr>
        <w:spacing w:after="100"/>
        <w:ind w:left="720" w:hanging="360"/>
      </w:pPr>
      <w:r>
        <w:t xml:space="preserve">• </w:t>
      </w:r>
      <w:r>
        <w:t xml:space="preserve">需要报告内容避免收益承诺，强调风险揭示和适当性。</w:t>
      </w:r>
    </w:p>
    <w:p>
      <w:pPr>
        <w:pStyle w:val="Heading3"/>
        <w:spacing w:after="200"/>
      </w:pPr>
      <w:r>
        <w:t xml:space="preserve">成功标准</w:t>
      </w:r>
    </w:p>
    <w:p>
      <w:pPr>
        <w:spacing w:after="100"/>
        <w:ind w:left="720" w:hanging="360"/>
      </w:pPr>
      <w:r>
        <w:t xml:space="preserve">1. </w:t>
      </w:r>
      <w:r>
        <w:t xml:space="preserve">报告交付周期不超过8个工作日。</w:t>
      </w:r>
    </w:p>
    <w:p>
      <w:pPr>
        <w:spacing w:after="100"/>
        <w:ind w:left="720" w:hanging="360"/>
      </w:pPr>
      <w:r>
        <w:t xml:space="preserve">2. </w:t>
      </w:r>
      <w:r>
        <w:t xml:space="preserve">重大市场事件响应不超过2个工作日。</w:t>
      </w:r>
    </w:p>
    <w:p>
      <w:pPr>
        <w:spacing w:after="100"/>
        <w:ind w:left="720" w:hanging="360"/>
      </w:pPr>
      <w:r>
        <w:t xml:space="preserve">3. </w:t>
      </w:r>
      <w:r>
        <w:t xml:space="preserve">能覆盖产品逻辑、风险提示、客户问答和配置建议。</w:t>
      </w:r>
    </w:p>
    <w:p>
      <w:pPr>
        <w:spacing w:after="100"/>
        <w:ind w:left="720" w:hanging="360"/>
      </w:pPr>
      <w:r>
        <w:t xml:space="preserve">4. </w:t>
      </w:r>
      <w:r>
        <w:t xml:space="preserve">所有对外材料需通过业务、法务和合规复核。</w:t>
      </w:r>
    </w:p>
    <w:p>
      <w:pPr>
        <w:pStyle w:val="Heading2"/>
        <w:spacing w:after="200"/>
      </w:pPr>
      <w:r>
        <w:t xml:space="preserve">市场环境与趋势判断</w:t>
      </w:r>
    </w:p>
    <w:p>
      <w:pPr>
        <w:spacing w:after="100"/>
      </w:pPr>
      <w:r>
        <w:t xml:space="preserve">待补充/待确认</w:t>
      </w:r>
    </w:p>
    <w:p>
      <w:pPr>
        <w:pStyle w:val="Heading2"/>
        <w:spacing w:after="200"/>
      </w:pPr>
      <w:r>
        <w:t xml:space="preserve">竞品/竞争对手对比</w:t>
      </w:r>
    </w:p>
    <w:p>
      <w:pPr>
        <w:pStyle w:val="Heading3"/>
        <w:spacing w:after="200"/>
      </w:pPr>
      <w:r>
        <w:t xml:space="preserve">竞品 A 分析</w:t>
      </w:r>
    </w:p>
    <w:p>
      <w:pPr>
        <w:spacing w:after="100"/>
      </w:pPr>
      <w:r>
        <w:t xml:space="preserve">竞品 A 年度报价约38万元。优势是价格较低、已有标准化月报模板、交付流程成熟。短板是内容定制化有限，客户沟通脚本和重大事件专题材料需额外收费。</w:t>
      </w:r>
    </w:p>
    <w:p>
      <w:pPr>
        <w:pStyle w:val="Heading3"/>
        <w:spacing w:after="200"/>
      </w:pPr>
      <w:r>
        <w:t xml:space="preserve">竞品 B 分析</w:t>
      </w:r>
    </w:p>
    <w:p>
      <w:pPr>
        <w:spacing w:after="100"/>
      </w:pPr>
      <w:r>
        <w:t xml:space="preserve">竞品 B 年度报价约55万元。优势是投研品牌强、可提供季度专家路演、市场观点更新频率高。短板是交付周期较长，定制报告通常需要12-15个工作日，商务报价弹性较低。</w:t>
      </w:r>
    </w:p>
    <w:p>
      <w:pPr>
        <w:pStyle w:val="Heading2"/>
        <w:spacing w:after="200"/>
      </w:pPr>
      <w:r>
        <w:t xml:space="preserve">我方方案与差异化优势</w:t>
      </w:r>
    </w:p>
    <w:p>
      <w:pPr>
        <w:pStyle w:val="Heading3"/>
        <w:spacing w:after="200"/>
      </w:pPr>
      <w:r>
        <w:t xml:space="preserve">我方相对优势</w:t>
      </w:r>
    </w:p>
    <w:p>
      <w:pPr>
        <w:spacing w:after="100"/>
      </w:pPr>
      <w:r>
        <w:t xml:space="preserve">我方建议年度报价为42万元，处于市场中位偏下。差异化优势是把“季度报告、重大事件解读、客户问答、风险揭示和内部培训材料”作为一个组合服务包同步交付。</w:t>
      </w:r>
    </w:p>
    <w:p>
      <w:pPr>
        <w:pStyle w:val="Heading3"/>
        <w:spacing w:after="200"/>
      </w:pPr>
      <w:r>
        <w:t xml:space="preserve">配置框架</w:t>
      </w:r>
    </w:p>
    <w:p>
      <w:pPr>
        <w:spacing w:after="100"/>
      </w:pPr>
      <w:r>
        <w:t xml:space="preserve">建议采用“底仓稳健、增强有边界、流动性缓冲”的三层配置框架：</w:t>
      </w:r>
    </w:p>
    <w:p>
      <w:pPr>
        <w:spacing w:after="100"/>
        <w:ind w:left="720" w:hanging="360"/>
      </w:pPr>
      <w:r>
        <w:t xml:space="preserve">1. </w:t>
      </w:r>
      <w:r>
        <w:t xml:space="preserve">底仓：中短久期高评级债券策略，建议占比55%-65%。</w:t>
      </w:r>
    </w:p>
    <w:p>
      <w:pPr>
        <w:spacing w:after="100"/>
        <w:ind w:left="720" w:hanging="360"/>
      </w:pPr>
      <w:r>
        <w:t xml:space="preserve">2. </w:t>
      </w:r>
      <w:r>
        <w:t xml:space="preserve">增强：票息型结构化产品和量化对冲策略，建议占比20%-30%。</w:t>
      </w:r>
    </w:p>
    <w:p>
      <w:pPr>
        <w:spacing w:after="100"/>
        <w:ind w:left="720" w:hanging="360"/>
      </w:pPr>
      <w:r>
        <w:t xml:space="preserve">3. </w:t>
      </w:r>
      <w:r>
        <w:t xml:space="preserve">流动性：现金管理和短久期产品，建议占比10%-20%。</w:t>
      </w:r>
    </w:p>
    <w:p>
      <w:pPr>
        <w:pStyle w:val="Heading3"/>
        <w:spacing w:after="200"/>
      </w:pPr>
      <w:r>
        <w:t xml:space="preserve">服务包设计</w:t>
      </w:r>
    </w:p>
    <w:p>
      <w:pPr>
        <w:spacing w:after="100"/>
        <w:ind w:left="720" w:hanging="360"/>
      </w:pPr>
      <w:r>
        <w:t xml:space="preserve">• </w:t>
      </w:r>
      <w:r>
        <w:t xml:space="preserve">季度资产配置报告。</w:t>
      </w:r>
    </w:p>
    <w:p>
      <w:pPr>
        <w:spacing w:after="100"/>
        <w:ind w:left="720" w:hanging="360"/>
      </w:pPr>
      <w:r>
        <w:t xml:space="preserve">• </w:t>
      </w:r>
      <w:r>
        <w:t xml:space="preserve">月度市场短评。</w:t>
      </w:r>
    </w:p>
    <w:p>
      <w:pPr>
        <w:spacing w:after="100"/>
        <w:ind w:left="720" w:hanging="360"/>
      </w:pPr>
      <w:r>
        <w:t xml:space="preserve">• </w:t>
      </w:r>
      <w:r>
        <w:t xml:space="preserve">重大市场事件专项解读。</w:t>
      </w:r>
    </w:p>
    <w:p>
      <w:pPr>
        <w:spacing w:after="100"/>
        <w:ind w:left="720" w:hanging="360"/>
      </w:pPr>
      <w:r>
        <w:t xml:space="preserve">• </w:t>
      </w:r>
      <w:r>
        <w:t xml:space="preserve">客户经理问答卡片。</w:t>
      </w:r>
    </w:p>
    <w:p>
      <w:pPr>
        <w:spacing w:after="100"/>
        <w:ind w:left="720" w:hanging="360"/>
      </w:pPr>
      <w:r>
        <w:t xml:space="preserve">• </w:t>
      </w:r>
      <w:r>
        <w:t xml:space="preserve">风险揭示和适当性提示模板。</w:t>
      </w:r>
    </w:p>
    <w:p>
      <w:pPr>
        <w:spacing w:after="100"/>
        <w:ind w:left="720" w:hanging="360"/>
      </w:pPr>
      <w:r>
        <w:t xml:space="preserve">• </w:t>
      </w:r>
      <w:r>
        <w:t xml:space="preserve">内部培训材料。</w:t>
      </w:r>
    </w:p>
    <w:p>
      <w:pPr>
        <w:pStyle w:val="Heading3"/>
        <w:spacing w:after="200"/>
      </w:pPr>
      <w:r>
        <w:t xml:space="preserve">差异化表述</w:t>
      </w:r>
    </w:p>
    <w:p>
      <w:pPr>
        <w:spacing w:after="100"/>
      </w:pPr>
      <w:r>
        <w:t xml:space="preserve">我方方案不是单一产品销售，而是围绕客户经理服务场景设计的材料体系。核心价值在于让客户经理能讲清楚市场、讲清楚产品、讲清楚风险，并留下合规可追溯记录。</w:t>
      </w:r>
    </w:p>
    <w:p>
      <w:pPr>
        <w:pStyle w:val="Heading2"/>
        <w:spacing w:after="200"/>
      </w:pPr>
      <w:r>
        <w:t xml:space="preserve">报价策略与商务条款</w:t>
      </w:r>
    </w:p>
    <w:p>
      <w:pPr>
        <w:pStyle w:val="Heading3"/>
        <w:spacing w:after="200"/>
      </w:pPr>
      <w:r>
        <w:t xml:space="preserve">报价建议</w:t>
      </w:r>
    </w:p>
    <w:p>
      <w:pPr>
        <w:spacing w:after="100"/>
      </w:pPr>
      <w:r>
        <w:t xml:space="preserve">建议首年基础服务费为42万元。若客户实际导入资产规模超过8亿元，第二年可按8%-12%的幅度下调服务费。若客户要求降低首年报价，建议优先减少现场培训次数，不建议削减合规复核和重大事件响应服务。</w:t>
      </w:r>
    </w:p>
    <w:p>
      <w:pPr>
        <w:pStyle w:val="Heading3"/>
        <w:spacing w:after="200"/>
      </w:pPr>
      <w:r>
        <w:t xml:space="preserve">商务条款建议</w:t>
      </w:r>
    </w:p>
    <w:p>
      <w:pPr>
        <w:spacing w:after="100"/>
        <w:ind w:left="720" w:hanging="360"/>
      </w:pPr>
      <w:r>
        <w:t xml:space="preserve">• </w:t>
      </w:r>
      <w:r>
        <w:t xml:space="preserve">报告初稿交付周期：季度结束后5个工作日。</w:t>
      </w:r>
    </w:p>
    <w:p>
      <w:pPr>
        <w:spacing w:after="100"/>
        <w:ind w:left="720" w:hanging="360"/>
      </w:pPr>
      <w:r>
        <w:t xml:space="preserve">• </w:t>
      </w:r>
      <w:r>
        <w:t xml:space="preserve">完整定稿交付周期：季度结束后8个工作曰。</w:t>
      </w:r>
    </w:p>
    <w:p>
      <w:pPr>
        <w:spacing w:after="100"/>
        <w:ind w:left="720" w:hanging="360"/>
      </w:pPr>
      <w:r>
        <w:t xml:space="preserve">• </w:t>
      </w:r>
      <w:r>
        <w:t xml:space="preserve">重大市场事件专项解读：触发后2个工作日。</w:t>
      </w:r>
    </w:p>
    <w:p>
      <w:pPr>
        <w:spacing w:after="100"/>
        <w:ind w:left="720" w:hanging="360"/>
      </w:pPr>
      <w:r>
        <w:t xml:space="preserve">• </w:t>
      </w:r>
      <w:r>
        <w:t xml:space="preserve">合规复核材料：每次对外交付前完成。</w:t>
      </w:r>
    </w:p>
    <w:p>
      <w:pPr>
        <w:pStyle w:val="Heading3"/>
        <w:spacing w:after="200"/>
      </w:pPr>
      <w:r>
        <w:t xml:space="preserve">竞价策略建议</w:t>
      </w:r>
    </w:p>
    <w:p>
      <w:pPr>
        <w:spacing w:after="100"/>
      </w:pPr>
      <w:r>
        <w:t xml:space="preserve">不要只打低价。建议强调我方在响应速度、材料完整度、合规留痕和客户经理可直接使用方面的优势。</w:t>
      </w:r>
    </w:p>
    <w:p>
      <w:pPr>
        <w:pStyle w:val="Heading2"/>
        <w:spacing w:after="200"/>
      </w:pPr>
      <w:r>
        <w:t xml:space="preserve">收益测算与关键指标</w:t>
      </w:r>
    </w:p>
    <w:p>
      <w:pPr>
        <w:pStyle w:val="Heading3"/>
        <w:spacing w:after="200"/>
      </w:pPr>
      <w:r>
        <w:t xml:space="preserve">报价竞争力</w:t>
      </w:r>
    </w:p>
    <w:p>
      <w:pPr>
        <w:spacing w:after="100"/>
      </w:pPr>
      <w:r>
        <w:t xml:space="preserve">我方42万元报价低于竞品B的55万元，较竞品B低约23.6%；高于竞品A的38万元，但多包含重大事件解读、客户问答、风险揭示和内部培训材料。</w:t>
      </w:r>
    </w:p>
    <w:p>
      <w:pPr>
        <w:pStyle w:val="Heading3"/>
        <w:spacing w:after="200"/>
      </w:pPr>
      <w:r>
        <w:t xml:space="preserve">服务完整度</w:t>
      </w:r>
    </w:p>
    <w:p>
      <w:pPr>
        <w:spacing w:after="100"/>
      </w:pPr>
      <w:r>
        <w:t xml:space="preserve">覆盖季度报告、月度市场短评、重大事件解读、客户经理问答卡片、风险揭示模板和内部培训材料六类交付物。</w:t>
      </w:r>
    </w:p>
    <w:p>
      <w:pPr>
        <w:pStyle w:val="Heading3"/>
        <w:spacing w:after="200"/>
      </w:pPr>
      <w:r>
        <w:t xml:space="preserve">响应效率</w:t>
      </w:r>
    </w:p>
    <w:p>
      <w:pPr>
        <w:spacing w:after="100"/>
      </w:pPr>
      <w:r>
        <w:t xml:space="preserve">完整定稿8个工作日，较竞品B通常12-15个工作日更快。</w:t>
      </w:r>
    </w:p>
    <w:p>
      <w:pPr>
        <w:pStyle w:val="Heading3"/>
        <w:spacing w:after="200"/>
      </w:pPr>
      <w:r>
        <w:t xml:space="preserve">续约弹性</w:t>
      </w:r>
    </w:p>
    <w:p>
      <w:pPr>
        <w:spacing w:after="100"/>
      </w:pPr>
      <w:r>
        <w:t xml:space="preserve">若资产规模达成8亿元以上，可给出8%-12%的第二年服务费优惠。</w:t>
      </w:r>
    </w:p>
    <w:p>
      <w:pPr>
        <w:pStyle w:val="Heading3"/>
        <w:spacing w:after="200"/>
      </w:pPr>
      <w:r>
        <w:t xml:space="preserve">合规保障</w:t>
      </w:r>
    </w:p>
    <w:p>
      <w:pPr>
        <w:spacing w:after="100"/>
      </w:pPr>
      <w:r>
        <w:t xml:space="preserve">每次对外交付前完成业务、法务和合规复核，降低误导性表述和收益承诺风险。</w:t>
      </w:r>
    </w:p>
    <w:p>
      <w:pPr>
        <w:pStyle w:val="Heading2"/>
        <w:spacing w:after="200"/>
      </w:pPr>
      <w:r>
        <w:t xml:space="preserve">实施计划与交付保障</w:t>
      </w:r>
    </w:p>
    <w:p>
      <w:pPr>
        <w:pStyle w:val="Heading3"/>
        <w:spacing w:after="200"/>
      </w:pPr>
      <w:r>
        <w:t xml:space="preserve">实施计划</w:t>
      </w:r>
    </w:p>
    <w:p>
      <w:pPr>
        <w:spacing w:after="100"/>
      </w:pPr>
      <w:r>
        <w:t xml:space="preserve">第一阶段：需求确认与模板定稿，周期1周。</w:t>
      </w:r>
      <w:r>
        <w:t xml:space="preserve">第二阶段：首期报告试运行，周期2周。</w:t>
      </w:r>
      <w:r>
        <w:t xml:space="preserve">第三阶段：季度服务常态化，按月度和季度节奏执行。</w:t>
      </w:r>
      <w:r>
        <w:t xml:space="preserve">第四阶段：每季度复盘服务效果，优化报告结构和客户问答材料。</w:t>
      </w:r>
    </w:p>
    <w:p>
      <w:pPr>
        <w:pStyle w:val="Heading2"/>
        <w:spacing w:after="200"/>
      </w:pPr>
      <w:r>
        <w:t xml:space="preserve">风险合规与免责声明</w:t>
      </w:r>
    </w:p>
    <w:p>
      <w:pPr>
        <w:pStyle w:val="Heading3"/>
        <w:spacing w:after="200"/>
      </w:pPr>
      <w:r>
        <w:t xml:space="preserve">合规边界</w:t>
      </w:r>
    </w:p>
    <w:p>
      <w:pPr>
        <w:spacing w:after="100"/>
      </w:pPr>
      <w:r>
        <w:t xml:space="preserve">竞价报告不得使用“保本”“稳赚”“无风险”“必然跑赢”“最高收益”等绝对化表述。涉及收益率、回撤、波动率、历史业绩、竞品报价或客户数据时，必须注明数据来源、统计区间和计算口径。</w:t>
      </w:r>
    </w:p>
    <w:p>
      <w:pPr>
        <w:pStyle w:val="Heading3"/>
        <w:spacing w:after="200"/>
      </w:pPr>
      <w:r>
        <w:t xml:space="preserve">风险提示建议</w:t>
      </w:r>
    </w:p>
    <w:p>
      <w:pPr>
        <w:spacing w:after="100"/>
      </w:pPr>
      <w:r>
        <w:t xml:space="preserve">本报告仅用于竞价方案展示和服务能力说明，不构成任何投资建议、产品推荐、收益承诺或法律意见。市场有风险，投资需谨慎。相关产品和服务应以正式合同、产品说明书、风险揭示书和适当性匹配结果为准。</w:t>
      </w:r>
    </w:p>
    <w:p>
      <w:pPr>
        <w:pStyle w:val="Heading3"/>
        <w:spacing w:after="200"/>
      </w:pPr>
      <w:r>
        <w:t xml:space="preserve">敏感信息处理</w:t>
      </w:r>
    </w:p>
    <w:p>
      <w:pPr>
        <w:spacing w:after="100"/>
        <w:ind w:left="720" w:hanging="360"/>
      </w:pPr>
      <w:r>
        <w:t xml:space="preserve">• </w:t>
      </w:r>
      <w:r>
        <w:t xml:space="preserve">客户名称、真实资产规模、未公开报价、竞品真实合同条款属于敏感信息。</w:t>
      </w:r>
    </w:p>
    <w:p>
      <w:pPr>
        <w:spacing w:after="100"/>
        <w:ind w:left="720" w:hanging="360"/>
      </w:pPr>
      <w:r>
        <w:t xml:space="preserve">• </w:t>
      </w:r>
      <w:r>
        <w:t xml:space="preserve">对外版本应删除内部审批编号和未经授权的竞品名称。</w:t>
      </w:r>
    </w:p>
    <w:p>
      <w:pPr>
        <w:spacing w:after="100"/>
        <w:ind w:left="720" w:hanging="360"/>
      </w:pPr>
      <w:r>
        <w:t xml:space="preserve">• </w:t>
      </w:r>
      <w:r>
        <w:t xml:space="preserve">客户访谈内容应匿名化。</w:t>
      </w:r>
    </w:p>
    <w:p>
      <w:pPr>
        <w:pStyle w:val="Heading3"/>
        <w:spacing w:after="200"/>
      </w:pPr>
      <w:r>
        <w:t xml:space="preserve">人工复核事项</w:t>
      </w:r>
    </w:p>
    <w:p>
      <w:pPr>
        <w:spacing w:after="100"/>
        <w:ind w:left="720" w:hanging="360"/>
      </w:pPr>
      <w:r>
        <w:t xml:space="preserve">1. </w:t>
      </w:r>
      <w:r>
        <w:t xml:space="preserve">报价是否与最新商务授权一致。</w:t>
      </w:r>
    </w:p>
    <w:p>
      <w:pPr>
        <w:spacing w:after="100"/>
        <w:ind w:left="720" w:hanging="360"/>
      </w:pPr>
      <w:r>
        <w:t xml:space="preserve">2. </w:t>
      </w:r>
      <w:r>
        <w:t xml:space="preserve">收益测算是否经过投研和合规复核。</w:t>
      </w:r>
    </w:p>
    <w:p>
      <w:pPr>
        <w:spacing w:after="100"/>
        <w:ind w:left="720" w:hanging="360"/>
      </w:pPr>
      <w:r>
        <w:t xml:space="preserve">3. </w:t>
      </w:r>
      <w:r>
        <w:t xml:space="preserve">竞品信息是否来自公开渠道或授权材料。</w:t>
      </w:r>
    </w:p>
    <w:p>
      <w:pPr>
        <w:spacing w:after="100"/>
        <w:ind w:left="720" w:hanging="360"/>
      </w:pPr>
      <w:r>
        <w:t xml:space="preserve">4. </w:t>
      </w:r>
      <w:r>
        <w:t xml:space="preserve">报告表述是否存在收益承诺或误导性内容。</w:t>
      </w:r>
    </w:p>
    <w:p>
      <w:pPr>
        <w:pStyle w:val="Heading2"/>
        <w:spacing w:after="200"/>
      </w:pPr>
      <w:r>
        <w:t xml:space="preserve">结论与推荐方案</w:t>
      </w:r>
    </w:p>
    <w:p>
      <w:pPr>
        <w:spacing w:after="100"/>
      </w:pPr>
      <w:r>
        <w:t xml:space="preserve">推荐以42万元首年基础服务费提交竞价，并将“完整材料体系+快速响应+合规可追溯”作为核心胜出逻辑。若客户要求压价，建议优先减少现场培训次数或专家陪访次数，不建议削减风险合规复核、重大市场事件响应和客户问答材料。</w:t>
      </w:r>
    </w:p>
    <w:p>
      <w:pPr>
        <w:pStyle w:val="Heading2"/>
        <w:spacing w:after="200"/>
      </w:pPr>
      <w:r>
        <w:t xml:space="preserve">证据索引</w:t>
      </w:r>
    </w:p>
    <w:p>
      <w:pPr>
        <w:spacing w:after="100"/>
        <w:ind w:left="720" w:hanging="360"/>
      </w:pPr>
      <w:r>
        <w:t xml:space="preserve">• </w:t>
      </w:r>
      <w:r>
        <w:t xml:space="preserve">执行摘要</w:t>
      </w:r>
    </w:p>
    <w:p>
      <w:pPr>
        <w:spacing w:after="100"/>
        <w:ind w:left="1440" w:hanging="360"/>
      </w:pPr>
      <w:r>
        <w:t xml:space="preserve">• </w:t>
      </w:r>
      <w:r>
        <w:t xml:space="preserve">来源：07-执行摘要收益测算与推荐方案_tCzM2D.md: 执行摘要；材料类型：收益测算与推荐方案材料；置信度：95</w:t>
      </w:r>
    </w:p>
    <w:p>
      <w:pPr>
        <w:spacing w:after="100"/>
        <w:ind w:left="720" w:hanging="360"/>
      </w:pPr>
      <w:r>
        <w:t xml:space="preserve">• </w:t>
      </w:r>
      <w:r>
        <w:t xml:space="preserve">项目背景与客户需求</w:t>
      </w:r>
    </w:p>
    <w:p>
      <w:pPr>
        <w:spacing w:after="100"/>
        <w:ind w:left="1440" w:hanging="360"/>
      </w:pPr>
      <w:r>
        <w:t xml:space="preserve">• </w:t>
      </w:r>
      <w:r>
        <w:t xml:space="preserve">项目概况</w:t>
      </w:r>
    </w:p>
    <w:p>
      <w:pPr>
        <w:spacing w:after="100"/>
        <w:ind w:left="2160" w:hanging="360"/>
      </w:pPr>
      <w:r>
        <w:t xml:space="preserve">• </w:t>
      </w:r>
      <w:r>
        <w:t xml:space="preserve">来源：01-项目背景与客户需求_rBwPvo.md；材料类型：项目背景与客户需求；置信度：95</w:t>
      </w:r>
    </w:p>
    <w:p>
      <w:pPr>
        <w:spacing w:after="100"/>
        <w:ind w:left="1440" w:hanging="360"/>
      </w:pPr>
      <w:r>
        <w:t xml:space="preserve">• </w:t>
      </w:r>
      <w:r>
        <w:t xml:space="preserve">竞价目标</w:t>
      </w:r>
    </w:p>
    <w:p>
      <w:pPr>
        <w:spacing w:after="100"/>
        <w:ind w:left="2160" w:hanging="360"/>
      </w:pPr>
      <w:r>
        <w:t xml:space="preserve">• </w:t>
      </w:r>
      <w:r>
        <w:t xml:space="preserve">来源：01-项目背景与客户需求_rBwPvo.md；材料类型：项目背景与客户需求；置信度：95</w:t>
      </w:r>
    </w:p>
    <w:p>
      <w:pPr>
        <w:spacing w:after="100"/>
        <w:ind w:left="1440" w:hanging="360"/>
      </w:pPr>
      <w:r>
        <w:t xml:space="preserve">• </w:t>
      </w:r>
      <w:r>
        <w:t xml:space="preserve">客户核心需求</w:t>
      </w:r>
    </w:p>
    <w:p>
      <w:pPr>
        <w:spacing w:after="100"/>
        <w:ind w:left="2160" w:hanging="360"/>
      </w:pPr>
      <w:r>
        <w:t xml:space="preserve">• </w:t>
      </w:r>
      <w:r>
        <w:t xml:space="preserve">来源：01-项目背景与客户需求_rBwPvo.md；材料类型：项目背景与客户需求；置信度：95</w:t>
      </w:r>
    </w:p>
    <w:p>
      <w:pPr>
        <w:spacing w:after="100"/>
        <w:ind w:left="1440" w:hanging="360"/>
      </w:pPr>
      <w:r>
        <w:t xml:space="preserve">• </w:t>
      </w:r>
      <w:r>
        <w:t xml:space="preserve">成功标准</w:t>
      </w:r>
    </w:p>
    <w:p>
      <w:pPr>
        <w:spacing w:after="100"/>
        <w:ind w:left="2160" w:hanging="360"/>
      </w:pPr>
      <w:r>
        <w:t xml:space="preserve">• </w:t>
      </w:r>
      <w:r>
        <w:t xml:space="preserve">来源：01-项目背景与客户需求_rBwPvo.md；材料类型：项目背景与客户需求；置信度：95</w:t>
      </w:r>
    </w:p>
    <w:p>
      <w:pPr>
        <w:spacing w:after="100"/>
        <w:ind w:left="720" w:hanging="360"/>
      </w:pPr>
      <w:r>
        <w:t xml:space="preserve">• </w:t>
      </w:r>
      <w:r>
        <w:t xml:space="preserve">竞品/竞争对手对比</w:t>
      </w:r>
    </w:p>
    <w:p>
      <w:pPr>
        <w:spacing w:after="100"/>
        <w:ind w:left="1440" w:hanging="360"/>
      </w:pPr>
      <w:r>
        <w:t xml:space="preserve">• </w:t>
      </w:r>
      <w:r>
        <w:t xml:space="preserve">竞品 A 分析</w:t>
      </w:r>
    </w:p>
    <w:p>
      <w:pPr>
        <w:spacing w:after="100"/>
        <w:ind w:left="2160" w:hanging="360"/>
      </w:pPr>
      <w:r>
        <w:t xml:space="preserve">• </w:t>
      </w:r>
      <w:r>
        <w:t xml:space="preserve">来源：03-竞品对比材料_j8CYkZ.md；材料类型：竞品分析；置信度：95</w:t>
      </w:r>
    </w:p>
    <w:p>
      <w:pPr>
        <w:spacing w:after="100"/>
        <w:ind w:left="1440" w:hanging="360"/>
      </w:pPr>
      <w:r>
        <w:t xml:space="preserve">• </w:t>
      </w:r>
      <w:r>
        <w:t xml:space="preserve">竞品 B 分析</w:t>
      </w:r>
    </w:p>
    <w:p>
      <w:pPr>
        <w:spacing w:after="100"/>
        <w:ind w:left="2160" w:hanging="360"/>
      </w:pPr>
      <w:r>
        <w:t xml:space="preserve">• </w:t>
      </w:r>
      <w:r>
        <w:t xml:space="preserve">来源：03-竞品对比材料_j8CYkZ.md；材料类型：竞品分析；置信度：95</w:t>
      </w:r>
    </w:p>
    <w:p>
      <w:pPr>
        <w:spacing w:after="100"/>
        <w:ind w:left="720" w:hanging="360"/>
      </w:pPr>
      <w:r>
        <w:t xml:space="preserve">• </w:t>
      </w:r>
      <w:r>
        <w:t xml:space="preserve">我方方案与差异化优势</w:t>
      </w:r>
    </w:p>
    <w:p>
      <w:pPr>
        <w:spacing w:after="100"/>
        <w:ind w:left="1440" w:hanging="360"/>
      </w:pPr>
      <w:r>
        <w:t xml:space="preserve">• </w:t>
      </w:r>
      <w:r>
        <w:t xml:space="preserve">我方相对优势</w:t>
      </w:r>
    </w:p>
    <w:p>
      <w:pPr>
        <w:spacing w:after="100"/>
        <w:ind w:left="2160" w:hanging="360"/>
      </w:pPr>
      <w:r>
        <w:t xml:space="preserve">• </w:t>
      </w:r>
      <w:r>
        <w:t xml:space="preserve">来源：03-竞品对比材料_j8CYkZ.md；材料类型：竞品分析；置信度：95</w:t>
      </w:r>
    </w:p>
    <w:p>
      <w:pPr>
        <w:spacing w:after="100"/>
        <w:ind w:left="1440" w:hanging="360"/>
      </w:pPr>
      <w:r>
        <w:t xml:space="preserve">• </w:t>
      </w:r>
      <w:r>
        <w:t xml:space="preserve">配置框架</w:t>
      </w:r>
    </w:p>
    <w:p>
      <w:pPr>
        <w:spacing w:after="100"/>
        <w:ind w:left="2160" w:hanging="360"/>
      </w:pPr>
      <w:r>
        <w:t xml:space="preserve">• </w:t>
      </w:r>
      <w:r>
        <w:t xml:space="preserve">来源：04-方案优势与产品结构_iqv4MG.md；材料类型：产品方案；置信度：90</w:t>
      </w:r>
    </w:p>
    <w:p>
      <w:pPr>
        <w:spacing w:after="100"/>
        <w:ind w:left="1440" w:hanging="360"/>
      </w:pPr>
      <w:r>
        <w:t xml:space="preserve">• </w:t>
      </w:r>
      <w:r>
        <w:t xml:space="preserve">服务包设计</w:t>
      </w:r>
    </w:p>
    <w:p>
      <w:pPr>
        <w:spacing w:after="100"/>
        <w:ind w:left="2160" w:hanging="360"/>
      </w:pPr>
      <w:r>
        <w:t xml:space="preserve">• </w:t>
      </w:r>
      <w:r>
        <w:t xml:space="preserve">来源：04-方案优势与产品结构_iqv4MG.md；材料类型：产品方案；置信度：90</w:t>
      </w:r>
    </w:p>
    <w:p>
      <w:pPr>
        <w:spacing w:after="100"/>
        <w:ind w:left="1440" w:hanging="360"/>
      </w:pPr>
      <w:r>
        <w:t xml:space="preserve">• </w:t>
      </w:r>
      <w:r>
        <w:t xml:space="preserve">差异化表述</w:t>
      </w:r>
    </w:p>
    <w:p>
      <w:pPr>
        <w:spacing w:after="100"/>
        <w:ind w:left="2160" w:hanging="360"/>
      </w:pPr>
      <w:r>
        <w:t xml:space="preserve">• </w:t>
      </w:r>
      <w:r>
        <w:t xml:space="preserve">来源：04-方案优势与产品结构_iqv4MG.md；材料类型：产品方案；置信度：90</w:t>
      </w:r>
    </w:p>
    <w:p>
      <w:pPr>
        <w:spacing w:after="100"/>
        <w:ind w:left="720" w:hanging="360"/>
      </w:pPr>
      <w:r>
        <w:t xml:space="preserve">• </w:t>
      </w:r>
      <w:r>
        <w:t xml:space="preserve">报价策略与商务条款</w:t>
      </w:r>
    </w:p>
    <w:p>
      <w:pPr>
        <w:spacing w:after="100"/>
        <w:ind w:left="1440" w:hanging="360"/>
      </w:pPr>
      <w:r>
        <w:t xml:space="preserve">• </w:t>
      </w:r>
      <w:r>
        <w:t xml:space="preserve">报价建议</w:t>
      </w:r>
    </w:p>
    <w:p>
      <w:pPr>
        <w:spacing w:after="100"/>
        <w:ind w:left="2160" w:hanging="360"/>
      </w:pPr>
      <w:r>
        <w:t xml:space="preserve">• </w:t>
      </w:r>
      <w:r>
        <w:t xml:space="preserve">来源：05-报价策略与实施计划_fCWkBd.md: 报价建议；材料类型：报价策略与实施计划；置信度：95</w:t>
      </w:r>
    </w:p>
    <w:p>
      <w:pPr>
        <w:spacing w:after="100"/>
        <w:ind w:left="1440" w:hanging="360"/>
      </w:pPr>
      <w:r>
        <w:t xml:space="preserve">• </w:t>
      </w:r>
      <w:r>
        <w:t xml:space="preserve">商务条款建议</w:t>
      </w:r>
    </w:p>
    <w:p>
      <w:pPr>
        <w:spacing w:after="100"/>
        <w:ind w:left="2160" w:hanging="360"/>
      </w:pPr>
      <w:r>
        <w:t xml:space="preserve">• </w:t>
      </w:r>
      <w:r>
        <w:t xml:space="preserve">来源：05-报价策略与实施计划_fCWkBd.md: 商务条款建议；材料类型：报价策略与实施计划；置信度：95</w:t>
      </w:r>
    </w:p>
    <w:p>
      <w:pPr>
        <w:spacing w:after="100"/>
        <w:ind w:left="1440" w:hanging="360"/>
      </w:pPr>
      <w:r>
        <w:t xml:space="preserve">• </w:t>
      </w:r>
      <w:r>
        <w:t xml:space="preserve">竞价策略建议</w:t>
      </w:r>
    </w:p>
    <w:p>
      <w:pPr>
        <w:spacing w:after="100"/>
        <w:ind w:left="2160" w:hanging="360"/>
      </w:pPr>
      <w:r>
        <w:t xml:space="preserve">• </w:t>
      </w:r>
      <w:r>
        <w:t xml:space="preserve">来源：03-竞品对比材料_j8CYkZ.md；材料类型：竞品分析；置信度：90</w:t>
      </w:r>
    </w:p>
    <w:p>
      <w:pPr>
        <w:spacing w:after="100"/>
        <w:ind w:left="720" w:hanging="360"/>
      </w:pPr>
      <w:r>
        <w:t xml:space="preserve">• </w:t>
      </w:r>
      <w:r>
        <w:t xml:space="preserve">收益测算与关键指标</w:t>
      </w:r>
    </w:p>
    <w:p>
      <w:pPr>
        <w:spacing w:after="100"/>
        <w:ind w:left="1440" w:hanging="360"/>
      </w:pPr>
      <w:r>
        <w:t xml:space="preserve">• </w:t>
      </w:r>
      <w:r>
        <w:t xml:space="preserve">报价竞争力</w:t>
      </w:r>
    </w:p>
    <w:p>
      <w:pPr>
        <w:spacing w:after="100"/>
        <w:ind w:left="2160" w:hanging="360"/>
      </w:pPr>
      <w:r>
        <w:t xml:space="preserve">• </w:t>
      </w:r>
      <w:r>
        <w:t xml:space="preserve">来源：07-执行摘要收益测算与推荐方案_tCzM2D.md: 收益测算与关键指标；材料类型：收益测算与推荐方案材料；置信度：90</w:t>
      </w:r>
    </w:p>
    <w:p>
      <w:pPr>
        <w:spacing w:after="100"/>
        <w:ind w:left="1440" w:hanging="360"/>
      </w:pPr>
      <w:r>
        <w:t xml:space="preserve">• </w:t>
      </w:r>
      <w:r>
        <w:t xml:space="preserve">服务完整度</w:t>
      </w:r>
    </w:p>
    <w:p>
      <w:pPr>
        <w:spacing w:after="100"/>
        <w:ind w:left="2160" w:hanging="360"/>
      </w:pPr>
      <w:r>
        <w:t xml:space="preserve">• </w:t>
      </w:r>
      <w:r>
        <w:t xml:space="preserve">来源：07-执行摘要收益测算与推荐方案_tCzM2D.md: 收益测算与关键指标；材料类型：收益测算与推荐方案材料；置信度：90</w:t>
      </w:r>
    </w:p>
    <w:p>
      <w:pPr>
        <w:spacing w:after="100"/>
        <w:ind w:left="1440" w:hanging="360"/>
      </w:pPr>
      <w:r>
        <w:t xml:space="preserve">• </w:t>
      </w:r>
      <w:r>
        <w:t xml:space="preserve">响应效率</w:t>
      </w:r>
    </w:p>
    <w:p>
      <w:pPr>
        <w:spacing w:after="100"/>
        <w:ind w:left="2160" w:hanging="360"/>
      </w:pPr>
      <w:r>
        <w:t xml:space="preserve">• </w:t>
      </w:r>
      <w:r>
        <w:t xml:space="preserve">来源：07-执行摘要收益测算与推荐方案_tCzM2D.md: 收益测算与关键指标；材料类型：收益测算与推荐方案材料；置信度：90</w:t>
      </w:r>
    </w:p>
    <w:p>
      <w:pPr>
        <w:spacing w:after="100"/>
        <w:ind w:left="1440" w:hanging="360"/>
      </w:pPr>
      <w:r>
        <w:t xml:space="preserve">• </w:t>
      </w:r>
      <w:r>
        <w:t xml:space="preserve">续约弹性</w:t>
      </w:r>
    </w:p>
    <w:p>
      <w:pPr>
        <w:spacing w:after="100"/>
        <w:ind w:left="2160" w:hanging="360"/>
      </w:pPr>
      <w:r>
        <w:t xml:space="preserve">• </w:t>
      </w:r>
      <w:r>
        <w:t xml:space="preserve">来源：07-执行摘要收益测算与推荐方案_tCzM2D.md: 收益测算与关键指标；材料类型：收益测算与推荐方案材料；置信度：90</w:t>
      </w:r>
    </w:p>
    <w:p>
      <w:pPr>
        <w:spacing w:after="100"/>
        <w:ind w:left="1440" w:hanging="360"/>
      </w:pPr>
      <w:r>
        <w:t xml:space="preserve">• </w:t>
      </w:r>
      <w:r>
        <w:t xml:space="preserve">合规保障</w:t>
      </w:r>
    </w:p>
    <w:p>
      <w:pPr>
        <w:spacing w:after="100"/>
        <w:ind w:left="2160" w:hanging="360"/>
      </w:pPr>
      <w:r>
        <w:t xml:space="preserve">• </w:t>
      </w:r>
      <w:r>
        <w:t xml:space="preserve">来源：07-执行摘要收益测算与推荐方案_tCzM2D.md: 收益测算与关键指标；材料类型：收益测算与推荐方案材料；置信度：90</w:t>
      </w:r>
    </w:p>
    <w:p>
      <w:pPr>
        <w:spacing w:after="100"/>
        <w:ind w:left="720" w:hanging="360"/>
      </w:pPr>
      <w:r>
        <w:t xml:space="preserve">• </w:t>
      </w:r>
      <w:r>
        <w:t xml:space="preserve">实施计划与交付保障</w:t>
      </w:r>
    </w:p>
    <w:p>
      <w:pPr>
        <w:spacing w:after="100"/>
        <w:ind w:left="1440" w:hanging="360"/>
      </w:pPr>
      <w:r>
        <w:t xml:space="preserve">• </w:t>
      </w:r>
      <w:r>
        <w:t xml:space="preserve">实施计划</w:t>
      </w:r>
    </w:p>
    <w:p>
      <w:pPr>
        <w:spacing w:after="100"/>
        <w:ind w:left="2160" w:hanging="360"/>
      </w:pPr>
      <w:r>
        <w:t xml:space="preserve">• </w:t>
      </w:r>
      <w:r>
        <w:t xml:space="preserve">来源：05-报价策略与实施计划_fCWkBd.md: 实施计划；材料类型：报价策略与实施计划；置信度：95</w:t>
      </w:r>
    </w:p>
    <w:p>
      <w:pPr>
        <w:spacing w:after="100"/>
        <w:ind w:left="720" w:hanging="360"/>
      </w:pPr>
      <w:r>
        <w:t xml:space="preserve">• </w:t>
      </w:r>
      <w:r>
        <w:t xml:space="preserve">风险合规与免责声明</w:t>
      </w:r>
    </w:p>
    <w:p>
      <w:pPr>
        <w:spacing w:after="100"/>
        <w:ind w:left="1440" w:hanging="360"/>
      </w:pPr>
      <w:r>
        <w:t xml:space="preserve">• </w:t>
      </w:r>
      <w:r>
        <w:t xml:space="preserve">合规边界</w:t>
      </w:r>
    </w:p>
    <w:p>
      <w:pPr>
        <w:spacing w:after="100"/>
        <w:ind w:left="2160" w:hanging="360"/>
      </w:pPr>
      <w:r>
        <w:t xml:space="preserve">• </w:t>
      </w:r>
      <w:r>
        <w:t xml:space="preserve">来源：06-风险合规说明_vQBhbi.md；材料类型：风险合规说明；置信度：100</w:t>
      </w:r>
    </w:p>
    <w:p>
      <w:pPr>
        <w:spacing w:after="100"/>
        <w:ind w:left="1440" w:hanging="360"/>
      </w:pPr>
      <w:r>
        <w:t xml:space="preserve">• </w:t>
      </w:r>
      <w:r>
        <w:t xml:space="preserve">风险提示建议</w:t>
      </w:r>
    </w:p>
    <w:p>
      <w:pPr>
        <w:spacing w:after="100"/>
        <w:ind w:left="2160" w:hanging="360"/>
      </w:pPr>
      <w:r>
        <w:t xml:space="preserve">• </w:t>
      </w:r>
      <w:r>
        <w:t xml:space="preserve">来源：06-风险合规说明_vQBhbi.md；材料类型：风险合规说明；置信度：100</w:t>
      </w:r>
    </w:p>
    <w:p>
      <w:pPr>
        <w:spacing w:after="100"/>
        <w:ind w:left="1440" w:hanging="360"/>
      </w:pPr>
      <w:r>
        <w:t xml:space="preserve">• </w:t>
      </w:r>
      <w:r>
        <w:t xml:space="preserve">敏感信息处理</w:t>
      </w:r>
    </w:p>
    <w:p>
      <w:pPr>
        <w:spacing w:after="100"/>
        <w:ind w:left="2160" w:hanging="360"/>
      </w:pPr>
      <w:r>
        <w:t xml:space="preserve">• </w:t>
      </w:r>
      <w:r>
        <w:t xml:space="preserve">来源：06-风险合规说明_vQBhbi.md；材料类型：风险合规说明；置信度：100</w:t>
      </w:r>
    </w:p>
    <w:p>
      <w:pPr>
        <w:spacing w:after="100"/>
        <w:ind w:left="1440" w:hanging="360"/>
      </w:pPr>
      <w:r>
        <w:t xml:space="preserve">• </w:t>
      </w:r>
      <w:r>
        <w:t xml:space="preserve">人工复核事项</w:t>
      </w:r>
    </w:p>
    <w:p>
      <w:pPr>
        <w:spacing w:after="100"/>
        <w:ind w:left="2160" w:hanging="360"/>
      </w:pPr>
      <w:r>
        <w:t xml:space="preserve">• </w:t>
      </w:r>
      <w:r>
        <w:t xml:space="preserve">来源：06-风险合规说明_vQBhbi.md；材料类型：风险合规说明；置信度：100</w:t>
      </w:r>
    </w:p>
    <w:p>
      <w:pPr>
        <w:spacing w:after="100"/>
        <w:ind w:left="720" w:hanging="360"/>
      </w:pPr>
      <w:r>
        <w:t xml:space="preserve">• </w:t>
      </w:r>
      <w:r>
        <w:t xml:space="preserve">结论与推荐方案</w:t>
      </w:r>
    </w:p>
    <w:p>
      <w:pPr>
        <w:spacing w:after="100"/>
        <w:ind w:left="1440" w:hanging="360"/>
      </w:pPr>
      <w:r>
        <w:t xml:space="preserve">• </w:t>
      </w:r>
      <w:r>
        <w:t xml:space="preserve">最终推荐方案</w:t>
      </w:r>
    </w:p>
    <w:p>
      <w:pPr>
        <w:spacing w:after="100"/>
        <w:ind w:left="2160" w:hanging="360"/>
      </w:pPr>
      <w:r>
        <w:t xml:space="preserve">• </w:t>
      </w:r>
      <w:r>
        <w:t xml:space="preserve">来源：07-执行摘要收益测算与推荐方案_tCzM2D.md: 结论与推荐方案；材料类型：收益测算与推荐方案材料；置信度：95</w:t>
      </w:r>
    </w:p>
    <w:p>
      <w:pPr>
        <w:pStyle w:val="Heading2"/>
        <w:spacing w:after="200"/>
      </w:pPr>
      <w:r>
        <w:t xml:space="preserve">待补充/待确认信息</w:t>
      </w:r>
    </w:p>
    <w:p>
      <w:pPr>
        <w:spacing w:after="100"/>
        <w:ind w:left="720" w:hanging="360"/>
      </w:pPr>
      <w:r>
        <w:t xml:space="preserve">• </w:t>
      </w:r>
      <w:r>
        <w:t xml:space="preserve">市场环境与趋势判断：待补充/待确认</w:t>
      </w:r>
    </w:p>
    <w:p>
      <w:pPr>
        <w:pStyle w:val="Heading2"/>
        <w:spacing w:after="200"/>
      </w:pPr>
      <w:r>
        <w:t xml:space="preserve">风险合规与免责声明</w:t>
      </w:r>
    </w:p>
    <w:p>
      <w:pPr>
        <w:pStyle w:val="Heading3"/>
        <w:spacing w:after="200"/>
      </w:pPr>
      <w:r>
        <w:t xml:space="preserve">合规边界</w:t>
      </w:r>
    </w:p>
    <w:p>
      <w:pPr>
        <w:spacing w:after="100"/>
      </w:pPr>
      <w:r>
        <w:t xml:space="preserve">竞价报告不得使用“保本”“稳赚”“无风险”“必然跑赢”“最高收益”等绝对化表述。涉及收益率、回撤、波动率、历史业绩、竞品报价或客户数据时，必须注明数据来源、统计区间和计算口径。</w:t>
      </w:r>
    </w:p>
    <w:p>
      <w:pPr>
        <w:pStyle w:val="Heading3"/>
        <w:spacing w:after="200"/>
      </w:pPr>
      <w:r>
        <w:t xml:space="preserve">风险提示建议</w:t>
      </w:r>
    </w:p>
    <w:p>
      <w:pPr>
        <w:spacing w:after="100"/>
      </w:pPr>
      <w:r>
        <w:t xml:space="preserve">本报告仅用于竞价方案展示和服务能力说明，不构成任何投资建议、产品推荐、收益承诺或法律意见。市场有风险，投资需谨慎。相关产品和服务应以正式合同、产品说明书、风险揭示书和适当性匹配结果为准。</w:t>
      </w:r>
    </w:p>
    <w:p>
      <w:pPr>
        <w:pStyle w:val="Heading3"/>
        <w:spacing w:after="200"/>
      </w:pPr>
      <w:r>
        <w:t xml:space="preserve">敏感信息处理</w:t>
      </w:r>
    </w:p>
    <w:p>
      <w:pPr>
        <w:spacing w:after="100"/>
        <w:ind w:left="720" w:hanging="360"/>
      </w:pPr>
      <w:r>
        <w:t xml:space="preserve">• </w:t>
      </w:r>
      <w:r>
        <w:t xml:space="preserve">客户名称、真实资产规模、未公开报价、竞品真实合同条款属于敏感信息。</w:t>
      </w:r>
    </w:p>
    <w:p>
      <w:pPr>
        <w:spacing w:after="100"/>
        <w:ind w:left="720" w:hanging="360"/>
      </w:pPr>
      <w:r>
        <w:t xml:space="preserve">• </w:t>
      </w:r>
      <w:r>
        <w:t xml:space="preserve">对外版本应删除内部审批编号和未经授权的竞品名称。</w:t>
      </w:r>
    </w:p>
    <w:p>
      <w:pPr>
        <w:spacing w:after="100"/>
        <w:ind w:left="720" w:hanging="360"/>
      </w:pPr>
      <w:r>
        <w:t xml:space="preserve">• </w:t>
      </w:r>
      <w:r>
        <w:t xml:space="preserve">客户访谈内容应匿名化。</w:t>
      </w:r>
    </w:p>
    <w:p>
      <w:pPr>
        <w:pStyle w:val="Heading3"/>
        <w:spacing w:after="200"/>
      </w:pPr>
      <w:r>
        <w:t xml:space="preserve">人工复核事项</w:t>
      </w:r>
    </w:p>
    <w:p>
      <w:pPr>
        <w:spacing w:after="100"/>
        <w:ind w:left="720" w:hanging="360"/>
      </w:pPr>
      <w:r>
        <w:t xml:space="preserve">1. </w:t>
      </w:r>
      <w:r>
        <w:t xml:space="preserve">报价是否与最新商务授权一致。</w:t>
      </w:r>
    </w:p>
    <w:p>
      <w:pPr>
        <w:spacing w:after="100"/>
        <w:ind w:left="720" w:hanging="360"/>
      </w:pPr>
      <w:r>
        <w:t xml:space="preserve">2. </w:t>
      </w:r>
      <w:r>
        <w:t xml:space="preserve">收益测算是否经过投研和合规复核。</w:t>
      </w:r>
    </w:p>
    <w:p>
      <w:pPr>
        <w:spacing w:after="100"/>
        <w:ind w:left="720" w:hanging="360"/>
      </w:pPr>
      <w:r>
        <w:t xml:space="preserve">3. </w:t>
      </w:r>
      <w:r>
        <w:t xml:space="preserve">竞品信息是否来自公开渠道或授权材料。</w:t>
      </w:r>
    </w:p>
    <w:p>
      <w:pPr>
        <w:spacing w:after="100"/>
        <w:ind w:left="720" w:hanging="360"/>
      </w:pPr>
      <w:r>
        <w:t xml:space="preserve">4. </w:t>
      </w:r>
      <w:r>
        <w:t xml:space="preserve">报告表述是否存在收益承诺或误导性内容。</w:t>
      </w:r>
    </w:p>
    <w:p>
      <w:pPr>
        <w:pStyle w:val="Heading2"/>
        <w:spacing w:after="200"/>
      </w:pPr>
      <w:r>
        <w:t xml:space="preserve">人工复核清单</w:t>
      </w:r>
    </w:p>
    <w:p>
      <w:pPr>
        <w:spacing w:after="100"/>
        <w:ind w:left="720" w:hanging="360"/>
      </w:pPr>
      <w:r>
        <w:t xml:space="preserve">• </w:t>
      </w:r>
      <w:r>
        <w:t xml:space="preserve"> 报价是否与最新商务授权一致。</w:t>
      </w:r>
    </w:p>
    <w:p>
      <w:pPr>
        <w:spacing w:after="100"/>
        <w:ind w:left="720" w:hanging="360"/>
      </w:pPr>
      <w:r>
        <w:t xml:space="preserve">• </w:t>
      </w:r>
      <w:r>
        <w:t xml:space="preserve"> 收益测算是否经过投研和合规复核。</w:t>
      </w:r>
    </w:p>
    <w:p>
      <w:pPr>
        <w:spacing w:after="100"/>
        <w:ind w:left="720" w:hanging="360"/>
      </w:pPr>
      <w:r>
        <w:t xml:space="preserve">• </w:t>
      </w:r>
      <w:r>
        <w:t xml:space="preserve"> 竞品信息是否来自公开渠道或授权材料。</w:t>
      </w:r>
    </w:p>
    <w:p>
      <w:pPr>
        <w:spacing w:after="100"/>
        <w:ind w:left="720" w:hanging="360"/>
      </w:pPr>
      <w:r>
        <w:t xml:space="preserve">• </w:t>
      </w:r>
      <w:r>
        <w:t xml:space="preserve"> 报告表述是否存在收益承诺或误导性内容。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2026-05-27T05:57:46.255Z</dcterms:created>
  <dcterms:modified xsi:type="dcterms:W3CDTF">2026-05-27T05:57:46.255Z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